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04596" w14:textId="77777777" w:rsidR="00C26EA5" w:rsidRPr="00C26EA5" w:rsidRDefault="00C26EA5" w:rsidP="00C26EA5">
      <w:pPr>
        <w:widowControl/>
        <w:spacing w:before="100" w:beforeAutospacing="1" w:after="100" w:afterAutospacing="1"/>
        <w:outlineLvl w:val="0"/>
        <w:rPr>
          <w:rFonts w:ascii="ＭＳ Ｐゴシック" w:eastAsia="ＭＳ Ｐゴシック" w:hAnsi="ＭＳ Ｐゴシック" w:cs="ＭＳ Ｐゴシック"/>
          <w:b/>
          <w:bCs/>
          <w:kern w:val="36"/>
          <w:sz w:val="36"/>
          <w:szCs w:val="36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36"/>
          <w:sz w:val="36"/>
          <w:szCs w:val="36"/>
          <w14:ligatures w14:val="none"/>
        </w:rPr>
        <w:t>Well-being &amp; Age-tech 2026 Award</w:t>
      </w:r>
    </w:p>
    <w:p w14:paraId="719A7F41" w14:textId="2826A3C3" w:rsidR="00C26EA5" w:rsidRPr="00C26EA5" w:rsidRDefault="00C26EA5" w:rsidP="00C26EA5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48"/>
          <w:szCs w:val="48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48"/>
          <w:szCs w:val="48"/>
          <w14:ligatures w14:val="none"/>
        </w:rPr>
        <w:t>Evaluation and Selection Criteria</w:t>
      </w:r>
    </w:p>
    <w:p w14:paraId="4F10D2E1" w14:textId="77777777" w:rsidR="00C26EA5" w:rsidRPr="00C26EA5" w:rsidRDefault="00C26EA5" w:rsidP="00C26EA5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>1. Purpose</w:t>
      </w:r>
    </w:p>
    <w:p w14:paraId="5376DBBA" w14:textId="77777777" w:rsidR="00C26EA5" w:rsidRPr="00C26EA5" w:rsidRDefault="00C26EA5" w:rsidP="00C26EA5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To enhance inclusiveness and well-being in a super-aged society, this award recognizes outstanding science, technology, innovation, and services based on the following perspectives:</w:t>
      </w:r>
    </w:p>
    <w:p w14:paraId="11D84E2F" w14:textId="77777777" w:rsidR="00C26EA5" w:rsidRPr="00C26EA5" w:rsidRDefault="00C26EA5" w:rsidP="00C26EA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Narrative / Storyline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Clear contribution toward achieving the UN SDGs and the SDGs 2nd edition “The Decade of Healthy Ageing 2021–2030,” or a clearly articulated storyline addressing challenges in a super-aged society.</w:t>
      </w:r>
    </w:p>
    <w:p w14:paraId="323C0BDC" w14:textId="77777777" w:rsidR="00C26EA5" w:rsidRPr="00C26EA5" w:rsidRDefault="00C26EA5" w:rsidP="00C26EA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Inclusiveness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Initiatives that consider the realities of a super-aged society and aim to “leave no one behind,” rather than serving only affluent or specific groups.</w:t>
      </w:r>
    </w:p>
    <w:p w14:paraId="449FC5E5" w14:textId="77777777" w:rsidR="00C26EA5" w:rsidRPr="00C26EA5" w:rsidRDefault="00C26EA5" w:rsidP="00C26EA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Integration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Initiatives that address multiple issues simultaneously and contribute to the integrated achievement of the SDGs and Healthy Ageing goals.</w:t>
      </w:r>
    </w:p>
    <w:p w14:paraId="4077CD44" w14:textId="77777777" w:rsidR="00C26EA5" w:rsidRPr="00C26EA5" w:rsidRDefault="00C26EA5" w:rsidP="00C26EA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Use of Science, Technology, and Innovation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Initiatives in which science, technology, and innovation play a central and essential role.</w:t>
      </w:r>
    </w:p>
    <w:p w14:paraId="4F0A72D5" w14:textId="77777777" w:rsidR="00C26EA5" w:rsidRPr="00C26EA5" w:rsidRDefault="00C26EA5" w:rsidP="00C26EA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Innovation and Originality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Initiatives that demonstrate originality in their approach or perspective.</w:t>
      </w:r>
    </w:p>
    <w:p w14:paraId="5EE43A02" w14:textId="77777777" w:rsidR="00C26EA5" w:rsidRPr="00C26EA5" w:rsidRDefault="00C26EA5" w:rsidP="00C26EA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Scalability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Initiatives that possess universality and can be horizontally expanded to other regions.</w:t>
      </w:r>
    </w:p>
    <w:p w14:paraId="74923664" w14:textId="77777777" w:rsidR="00C26EA5" w:rsidRPr="00C26EA5" w:rsidRDefault="00C26EA5" w:rsidP="00C26EA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Sustainability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Initiatives that provide continuous, long-term value rather than temporary solutions.</w:t>
      </w:r>
    </w:p>
    <w:p w14:paraId="283D881A" w14:textId="77777777" w:rsidR="00C26EA5" w:rsidRPr="00C26EA5" w:rsidRDefault="00C26EA5" w:rsidP="00C26EA5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>2. Scope of Evaluation</w:t>
      </w:r>
    </w:p>
    <w:p w14:paraId="5B9B04F7" w14:textId="77777777" w:rsidR="00C26EA5" w:rsidRPr="00C26EA5" w:rsidRDefault="00C26EA5" w:rsidP="00C26EA5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All applications submitted to the </w:t>
      </w: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Well-being &amp; Age-tech 2026 Award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are subject to evaluation.</w:t>
      </w:r>
    </w:p>
    <w:p w14:paraId="651A686C" w14:textId="77777777" w:rsidR="00C26EA5" w:rsidRPr="00C26EA5" w:rsidRDefault="00C26EA5" w:rsidP="00C26EA5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lastRenderedPageBreak/>
        <w:t>3. Evaluation Method</w:t>
      </w:r>
    </w:p>
    <w:p w14:paraId="4124D844" w14:textId="77777777" w:rsidR="00C26EA5" w:rsidRPr="00C26EA5" w:rsidRDefault="00C26EA5" w:rsidP="00C26EA5">
      <w:pPr>
        <w:widowControl/>
        <w:spacing w:before="100" w:beforeAutospacing="1" w:after="100" w:afterAutospacing="1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  <w14:ligatures w14:val="none"/>
        </w:rPr>
        <w:t>Evaluation Process</w:t>
      </w:r>
    </w:p>
    <w:p w14:paraId="3D898B29" w14:textId="77777777" w:rsidR="00C26EA5" w:rsidRPr="00C26EA5" w:rsidRDefault="00C26EA5" w:rsidP="00C26EA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Each criterion is rated on a four-point scale: A (Excellent), B (Good), C (Average), D (Needs Improvement).</w:t>
      </w:r>
    </w:p>
    <w:p w14:paraId="60AC714B" w14:textId="77777777" w:rsidR="00C26EA5" w:rsidRPr="00C26EA5" w:rsidRDefault="00C26EA5" w:rsidP="00C26EA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Awards include:</w:t>
      </w:r>
    </w:p>
    <w:p w14:paraId="52833C70" w14:textId="77777777" w:rsidR="00C26EA5" w:rsidRPr="00C26EA5" w:rsidRDefault="00C26EA5" w:rsidP="00C26EA5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Minister for Digital Affairs Award / Minister of Economy, Trade and Industry Award (Grand Prize)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: 1 initiative</w:t>
      </w:r>
    </w:p>
    <w:p w14:paraId="0FB267A3" w14:textId="77777777" w:rsidR="00C26EA5" w:rsidRPr="00C26EA5" w:rsidRDefault="00C26EA5" w:rsidP="00C26EA5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Excellence Awards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: Approximately 3 initiatives</w:t>
      </w:r>
    </w:p>
    <w:p w14:paraId="4A3E8E9D" w14:textId="77777777" w:rsidR="00C26EA5" w:rsidRPr="00C26EA5" w:rsidRDefault="00C26EA5" w:rsidP="00C26EA5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Next Generation Award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: Approximately 3 initiatives led by students or young innovators</w:t>
      </w:r>
    </w:p>
    <w:p w14:paraId="5CF1F1ED" w14:textId="77777777" w:rsidR="00C26EA5" w:rsidRPr="00C26EA5" w:rsidRDefault="00C26EA5" w:rsidP="00C26EA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Evaluation is conducted by committee members including academic experts and industry representatives.</w:t>
      </w:r>
    </w:p>
    <w:p w14:paraId="48DB0995" w14:textId="77777777" w:rsidR="00C26EA5" w:rsidRPr="00C26EA5" w:rsidRDefault="00C26EA5" w:rsidP="00C26EA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Results are notified to applicants, and top-scoring initiatives are announced on the official website and at the </w:t>
      </w: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Well-being &amp; Age-tech 2026 Award Ceremony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(scheduled for November–December).</w:t>
      </w:r>
    </w:p>
    <w:p w14:paraId="160B75F8" w14:textId="77777777" w:rsidR="00C26EA5" w:rsidRPr="00C26EA5" w:rsidRDefault="00C26EA5" w:rsidP="00C26EA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Applications with significant deficiencies may be excluded from evaluation.</w:t>
      </w:r>
    </w:p>
    <w:p w14:paraId="50B96098" w14:textId="77777777" w:rsidR="00C26EA5" w:rsidRPr="00C26EA5" w:rsidRDefault="00C26EA5" w:rsidP="00C26EA5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>4. Evaluation Criteria</w:t>
      </w:r>
    </w:p>
    <w:p w14:paraId="72BB7537" w14:textId="77777777" w:rsidR="00C26EA5" w:rsidRPr="00C26EA5" w:rsidRDefault="00C26EA5" w:rsidP="00C26EA5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Narrative / Storyline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Assesses whether the initiative clearly contributes to the SDGs and the Decade of Healthy Ageing, and whether its problem-solving narrative is coherent.</w:t>
      </w:r>
    </w:p>
    <w:p w14:paraId="1C8CC28F" w14:textId="77777777" w:rsidR="00C26EA5" w:rsidRPr="00C26EA5" w:rsidRDefault="00C26EA5" w:rsidP="00C26EA5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Inclusiveness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Assesses whether the initiative avoids widening disparities and is designed for broad accessibility in a super-aged society.</w:t>
      </w:r>
    </w:p>
    <w:p w14:paraId="5F1099ED" w14:textId="77777777" w:rsidR="00C26EA5" w:rsidRPr="00C26EA5" w:rsidRDefault="00C26EA5" w:rsidP="00C26EA5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Integration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Assesses whether the initiative addresses multiple issues in an integrated manner.</w:t>
      </w:r>
    </w:p>
    <w:p w14:paraId="1AEDF8DC" w14:textId="77777777" w:rsidR="00C26EA5" w:rsidRPr="00C26EA5" w:rsidRDefault="00C26EA5" w:rsidP="00C26EA5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Use of Science, Technology, and Innovation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Assesses the degree to which STI plays a central role in addressing the issue.</w:t>
      </w:r>
    </w:p>
    <w:p w14:paraId="3670C8A5" w14:textId="77777777" w:rsidR="00C26EA5" w:rsidRPr="00C26EA5" w:rsidRDefault="00C26EA5" w:rsidP="00C26EA5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Innovation and Originality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Assesses the uniqueness and creativity of the approach.</w:t>
      </w:r>
    </w:p>
    <w:p w14:paraId="1FCE28AD" w14:textId="77777777" w:rsidR="00C26EA5" w:rsidRPr="00C26EA5" w:rsidRDefault="00C26EA5" w:rsidP="00C26EA5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Scalability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Assesses whether the initiative can be expanded to other regions or contexts.</w:t>
      </w:r>
    </w:p>
    <w:p w14:paraId="42FB3A4E" w14:textId="77777777" w:rsidR="00C26EA5" w:rsidRPr="00C26EA5" w:rsidRDefault="00C26EA5" w:rsidP="00C26EA5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lastRenderedPageBreak/>
        <w:t>Sustainability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Assesses whether the initiative can deliver long-term, continuous impact.</w:t>
      </w:r>
    </w:p>
    <w:p w14:paraId="3AF8AAC9" w14:textId="77777777" w:rsidR="00C26EA5" w:rsidRPr="00C26EA5" w:rsidRDefault="00C26EA5" w:rsidP="00C26EA5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Presentation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Assesses clarity of slides, accuracy of explanation, and comprehensibility during the interview.</w:t>
      </w:r>
    </w:p>
    <w:p w14:paraId="70BCC2CC" w14:textId="3A53490F" w:rsidR="00C26EA5" w:rsidRPr="00C26EA5" w:rsidRDefault="00C26EA5" w:rsidP="00C26EA5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>5. Scoring Method</w:t>
      </w:r>
    </w:p>
    <w:p w14:paraId="148A0DE3" w14:textId="77777777" w:rsidR="00C26EA5" w:rsidRPr="00C26EA5" w:rsidRDefault="00C26EA5" w:rsidP="00C26EA5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Each criterion is scored on a 4-point scale. The following weightings are applied to each score:</w:t>
      </w:r>
    </w:p>
    <w:p w14:paraId="0F438806" w14:textId="77777777" w:rsidR="00C26EA5" w:rsidRPr="00C26EA5" w:rsidRDefault="00C26EA5" w:rsidP="00C26EA5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Narrative / Storyline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: score × 3</w:t>
      </w:r>
    </w:p>
    <w:p w14:paraId="2CC5F764" w14:textId="77777777" w:rsidR="00C26EA5" w:rsidRPr="00C26EA5" w:rsidRDefault="00C26EA5" w:rsidP="00C26EA5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Inclusiveness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: score × 2</w:t>
      </w:r>
    </w:p>
    <w:p w14:paraId="41B08D6C" w14:textId="77777777" w:rsidR="00C26EA5" w:rsidRPr="00C26EA5" w:rsidRDefault="00C26EA5" w:rsidP="00C26EA5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Integration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: score × 2</w:t>
      </w:r>
    </w:p>
    <w:p w14:paraId="2D2E36C3" w14:textId="77777777" w:rsidR="00C26EA5" w:rsidRPr="00C26EA5" w:rsidRDefault="00C26EA5" w:rsidP="00C26EA5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Use of Science, Technology, and Innovation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: score × 4</w:t>
      </w:r>
    </w:p>
    <w:p w14:paraId="60F7981A" w14:textId="77777777" w:rsidR="00C26EA5" w:rsidRPr="00C26EA5" w:rsidRDefault="00C26EA5" w:rsidP="00C26EA5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Innovation and Originality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: score × 4</w:t>
      </w:r>
    </w:p>
    <w:p w14:paraId="1592FF4E" w14:textId="77777777" w:rsidR="00C26EA5" w:rsidRPr="00C26EA5" w:rsidRDefault="00C26EA5" w:rsidP="00C26EA5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Scalability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: score × 3</w:t>
      </w:r>
    </w:p>
    <w:p w14:paraId="43590F5B" w14:textId="77777777" w:rsidR="00C26EA5" w:rsidRPr="00C26EA5" w:rsidRDefault="00C26EA5" w:rsidP="00C26EA5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Sustainability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: score × 3</w:t>
      </w:r>
    </w:p>
    <w:p w14:paraId="4AAEDC7E" w14:textId="77777777" w:rsidR="00C26EA5" w:rsidRPr="00C26EA5" w:rsidRDefault="00C26EA5" w:rsidP="00C26EA5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Presentation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: score × 4</w:t>
      </w:r>
    </w:p>
    <w:p w14:paraId="314D9DB9" w14:textId="77777777" w:rsidR="00C26EA5" w:rsidRPr="00C26EA5" w:rsidRDefault="00C26EA5" w:rsidP="00C26EA5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The total score per evaluator is </w:t>
      </w: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100 points</w:t>
      </w: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.</w:t>
      </w:r>
    </w:p>
    <w:p w14:paraId="09A894C8" w14:textId="77777777" w:rsidR="00C26EA5" w:rsidRPr="00C26EA5" w:rsidRDefault="00C26EA5" w:rsidP="00C26EA5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>6. Selection of Awardees</w:t>
      </w:r>
    </w:p>
    <w:p w14:paraId="23607694" w14:textId="77777777" w:rsidR="00C26EA5" w:rsidRPr="00C26EA5" w:rsidRDefault="00C26EA5" w:rsidP="00C26EA5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C26EA5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Award recipients are selected from the highest-scoring initiatives by the Evaluation Committee.</w:t>
      </w:r>
    </w:p>
    <w:p w14:paraId="0B36FFF0" w14:textId="77777777" w:rsidR="00C26EA5" w:rsidRPr="00C26EA5" w:rsidRDefault="00C26EA5"/>
    <w:sectPr w:rsidR="00C26EA5" w:rsidRPr="00C26E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7F96"/>
    <w:multiLevelType w:val="multilevel"/>
    <w:tmpl w:val="03564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235819"/>
    <w:multiLevelType w:val="multilevel"/>
    <w:tmpl w:val="F6164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87198F"/>
    <w:multiLevelType w:val="multilevel"/>
    <w:tmpl w:val="94CC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6C039E"/>
    <w:multiLevelType w:val="multilevel"/>
    <w:tmpl w:val="09904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6500980">
    <w:abstractNumId w:val="3"/>
  </w:num>
  <w:num w:numId="2" w16cid:durableId="1938974440">
    <w:abstractNumId w:val="0"/>
  </w:num>
  <w:num w:numId="3" w16cid:durableId="631256846">
    <w:abstractNumId w:val="1"/>
  </w:num>
  <w:num w:numId="4" w16cid:durableId="1156385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sDel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EA5"/>
    <w:rsid w:val="0037728B"/>
    <w:rsid w:val="00C2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2572B9"/>
  <w15:chartTrackingRefBased/>
  <w15:docId w15:val="{FB3DD17C-6C66-42BD-8643-6BAC6CC7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26EA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E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EA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EA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EA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EA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EA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EA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26EA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26EA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26EA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26E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26E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26E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26E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26E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26EA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26EA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26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6EA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26E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6E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26E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6EA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26EA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26E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26EA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26E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Yumi Sato</dc:creator>
  <cp:keywords/>
  <dc:description/>
  <cp:lastModifiedBy>Yumi Sato</cp:lastModifiedBy>
  <cp:revision>1</cp:revision>
  <dcterms:created xsi:type="dcterms:W3CDTF">2026-06-17T06:42:00Z</dcterms:created>
  <dcterms:modified xsi:type="dcterms:W3CDTF">2026-06-17T06:44:00Z</dcterms:modified>
</cp:coreProperties>
</file>