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18D5" w14:textId="53E2ECFB" w:rsidR="0050482E" w:rsidRPr="00E52A33" w:rsidRDefault="0050482E">
      <w:pPr>
        <w:rPr>
          <w:szCs w:val="21"/>
        </w:rPr>
      </w:pPr>
      <w:r w:rsidRPr="00E52A33">
        <w:rPr>
          <w:rFonts w:hint="eastAsia"/>
          <w:szCs w:val="21"/>
        </w:rPr>
        <w:t>W</w:t>
      </w:r>
      <w:r w:rsidRPr="00E52A33">
        <w:rPr>
          <w:szCs w:val="21"/>
        </w:rPr>
        <w:t xml:space="preserve">ell-being &amp; Age-tech 2023 Award( </w:t>
      </w:r>
      <w:r w:rsidRPr="00E52A33">
        <w:rPr>
          <w:szCs w:val="21"/>
        </w:rPr>
        <w:t>ウェルビーイング＆エイジテッ</w:t>
      </w:r>
      <w:r w:rsidRPr="00E52A33">
        <w:rPr>
          <w:rFonts w:hint="eastAsia"/>
          <w:szCs w:val="21"/>
        </w:rPr>
        <w:t>ク</w:t>
      </w:r>
      <w:r w:rsidRPr="00E52A33">
        <w:rPr>
          <w:szCs w:val="21"/>
        </w:rPr>
        <w:t>202</w:t>
      </w:r>
      <w:r w:rsidRPr="00E52A33">
        <w:rPr>
          <w:szCs w:val="21"/>
        </w:rPr>
        <w:t>3</w:t>
      </w:r>
      <w:r w:rsidRPr="00E52A33">
        <w:rPr>
          <w:szCs w:val="21"/>
        </w:rPr>
        <w:t xml:space="preserve"> アワード</w:t>
      </w:r>
      <w:r w:rsidRPr="00E52A33">
        <w:rPr>
          <w:rFonts w:hint="eastAsia"/>
          <w:szCs w:val="21"/>
        </w:rPr>
        <w:t>)</w:t>
      </w:r>
    </w:p>
    <w:p w14:paraId="20227C98" w14:textId="1640AE01" w:rsidR="0050482E" w:rsidRPr="00E52A33" w:rsidRDefault="0050482E">
      <w:pPr>
        <w:rPr>
          <w:b/>
          <w:bCs/>
          <w:sz w:val="28"/>
          <w:szCs w:val="28"/>
        </w:rPr>
      </w:pPr>
      <w:r w:rsidRPr="00E52A33">
        <w:rPr>
          <w:b/>
          <w:bCs/>
          <w:sz w:val="28"/>
          <w:szCs w:val="28"/>
        </w:rPr>
        <w:t xml:space="preserve">表彰審査基準 </w:t>
      </w:r>
    </w:p>
    <w:p w14:paraId="3EA9C152" w14:textId="7A07AB06" w:rsidR="0050482E" w:rsidRDefault="0050482E">
      <w:r>
        <w:t>ウェルエイジング経済フォーラムが主催するウェルビーイング＆エイジテッ</w:t>
      </w:r>
      <w:r>
        <w:rPr>
          <w:rFonts w:hint="eastAsia"/>
        </w:rPr>
        <w:t>ク</w:t>
      </w:r>
      <w:r>
        <w:t>202</w:t>
      </w:r>
      <w:r>
        <w:rPr>
          <w:rFonts w:hint="eastAsia"/>
        </w:rPr>
        <w:t>3</w:t>
      </w:r>
      <w:r>
        <w:t xml:space="preserve"> アワ ードにおける表彰審査基準を、次のとおり定める。 </w:t>
      </w:r>
    </w:p>
    <w:p w14:paraId="313EB4B1" w14:textId="77777777" w:rsidR="0050482E" w:rsidRDefault="0050482E"/>
    <w:p w14:paraId="0F1740C3" w14:textId="77777777" w:rsidR="0050482E" w:rsidRDefault="0050482E">
      <w:r>
        <w:t xml:space="preserve">１ 目的 </w:t>
      </w:r>
    </w:p>
    <w:p w14:paraId="4FF63E09" w14:textId="343AD33D" w:rsidR="0050482E" w:rsidRDefault="0050482E">
      <w:pPr>
        <w:rPr>
          <w:rFonts w:hint="eastAsia"/>
        </w:rPr>
      </w:pPr>
      <w:r>
        <w:t>超高齢社会の包摂性と Well</w:t>
      </w:r>
      <w:r>
        <w:rPr>
          <w:rFonts w:hint="eastAsia"/>
        </w:rPr>
        <w:t>-</w:t>
      </w:r>
      <w:r>
        <w:t>being を高めるため、次の観点で優れている科学技術・ イノベーション、サービスを奨励し、表彰する。</w:t>
      </w:r>
    </w:p>
    <w:p w14:paraId="701A86BA" w14:textId="44AF7A24" w:rsidR="0050482E" w:rsidRDefault="0050482E" w:rsidP="0050482E">
      <w:pPr>
        <w:pStyle w:val="a3"/>
        <w:numPr>
          <w:ilvl w:val="0"/>
          <w:numId w:val="1"/>
        </w:numPr>
        <w:ind w:leftChars="0"/>
      </w:pPr>
      <w:r>
        <w:t xml:space="preserve">ストーリー性 </w:t>
      </w:r>
    </w:p>
    <w:p w14:paraId="61BFCF24" w14:textId="10AA4B61" w:rsidR="0050482E" w:rsidRDefault="0050482E" w:rsidP="0050482E">
      <w:pPr>
        <w:pStyle w:val="a3"/>
        <w:ind w:leftChars="0"/>
      </w:pPr>
      <w:r>
        <w:t xml:space="preserve">国連 SDGs 2nd edition「The Decade of Healthy Ageing 2021-2030」の達成、また は 社会課題の解決に向けたストーリーが明確な取組であること </w:t>
      </w:r>
    </w:p>
    <w:p w14:paraId="6EA46931" w14:textId="3464603B" w:rsidR="0050482E" w:rsidRDefault="0050482E" w:rsidP="0050482E">
      <w:pPr>
        <w:pStyle w:val="a3"/>
        <w:numPr>
          <w:ilvl w:val="0"/>
          <w:numId w:val="1"/>
        </w:numPr>
        <w:ind w:leftChars="0"/>
      </w:pPr>
      <w:r>
        <w:t xml:space="preserve">包摂性 </w:t>
      </w:r>
    </w:p>
    <w:p w14:paraId="7D737E0E" w14:textId="1F56C358" w:rsidR="0050482E" w:rsidRDefault="0050482E" w:rsidP="0050482E">
      <w:pPr>
        <w:pStyle w:val="a3"/>
        <w:ind w:leftChars="0"/>
      </w:pPr>
      <w:r>
        <w:t xml:space="preserve">健康的に年を重ねるなど超高齢社会を勘案した取組であること、また富裕層や特定の層のみを対象として格差拡大に繋がる取組ではなく、誰ひとり取り残さないことを目指した取組であること </w:t>
      </w:r>
    </w:p>
    <w:p w14:paraId="72392E7A" w14:textId="16B9056B" w:rsidR="0050482E" w:rsidRDefault="0050482E" w:rsidP="0050482E">
      <w:pPr>
        <w:pStyle w:val="a3"/>
        <w:numPr>
          <w:ilvl w:val="0"/>
          <w:numId w:val="1"/>
        </w:numPr>
        <w:ind w:leftChars="0"/>
      </w:pPr>
      <w:r>
        <w:t xml:space="preserve">統合性 </w:t>
      </w:r>
    </w:p>
    <w:p w14:paraId="74345DA9" w14:textId="5E40A1E2" w:rsidR="0050482E" w:rsidRDefault="0050482E" w:rsidP="0050482E">
      <w:pPr>
        <w:pStyle w:val="a3"/>
        <w:ind w:leftChars="0"/>
      </w:pPr>
      <w:r>
        <w:t>単一の課題だけでなく複数の課題の解決や</w:t>
      </w:r>
      <w:r>
        <w:rPr>
          <w:rFonts w:hint="eastAsia"/>
        </w:rPr>
        <w:t>S</w:t>
      </w:r>
      <w:r>
        <w:t>DGs</w:t>
      </w:r>
      <w:r>
        <w:rPr>
          <w:rFonts w:hint="eastAsia"/>
        </w:rPr>
        <w:t>及び</w:t>
      </w:r>
      <w:r>
        <w:t xml:space="preserve">「The Decade of Healthy Ageing 2021- 2030」の達成を目指す、統合的解決の視点を持った取組であること </w:t>
      </w:r>
    </w:p>
    <w:p w14:paraId="45ABDCA6" w14:textId="6D3C98F4" w:rsidR="0050482E" w:rsidRDefault="0050482E" w:rsidP="0050482E">
      <w:pPr>
        <w:pStyle w:val="a3"/>
        <w:numPr>
          <w:ilvl w:val="0"/>
          <w:numId w:val="1"/>
        </w:numPr>
        <w:ind w:leftChars="0"/>
      </w:pPr>
      <w:r>
        <w:t xml:space="preserve">科学技術・イノベーションの活用 </w:t>
      </w:r>
    </w:p>
    <w:p w14:paraId="0043D86F" w14:textId="209560B4" w:rsidR="0050482E" w:rsidRDefault="0050482E" w:rsidP="0050482E">
      <w:pPr>
        <w:pStyle w:val="a3"/>
        <w:ind w:leftChars="0"/>
      </w:pPr>
      <w:r>
        <w:t xml:space="preserve">対象となる社会課題に対して、科学技術・イノベーションが重要な役割を担っている取組であること </w:t>
      </w:r>
    </w:p>
    <w:p w14:paraId="5B4A7B2B" w14:textId="5364179B" w:rsidR="0050482E" w:rsidRDefault="0050482E" w:rsidP="0050482E">
      <w:pPr>
        <w:pStyle w:val="a3"/>
        <w:numPr>
          <w:ilvl w:val="0"/>
          <w:numId w:val="1"/>
        </w:numPr>
        <w:ind w:leftChars="0"/>
      </w:pPr>
      <w:r>
        <w:t xml:space="preserve">革新性、独創性 </w:t>
      </w:r>
    </w:p>
    <w:p w14:paraId="4125BA8E" w14:textId="1DAB9A48" w:rsidR="0050482E" w:rsidRDefault="0050482E" w:rsidP="0050482E">
      <w:pPr>
        <w:pStyle w:val="a3"/>
        <w:ind w:leftChars="0"/>
      </w:pPr>
      <w:r>
        <w:t xml:space="preserve">社会課題の解決手段や着眼点にオリジナリティのある取組であること </w:t>
      </w:r>
    </w:p>
    <w:p w14:paraId="676BC22E" w14:textId="2C053C26" w:rsidR="0050482E" w:rsidRDefault="0050482E" w:rsidP="0050482E">
      <w:pPr>
        <w:pStyle w:val="a3"/>
        <w:numPr>
          <w:ilvl w:val="0"/>
          <w:numId w:val="1"/>
        </w:numPr>
        <w:ind w:leftChars="0"/>
      </w:pPr>
      <w:r>
        <w:t xml:space="preserve">展開性 </w:t>
      </w:r>
    </w:p>
    <w:p w14:paraId="07EBE0A9" w14:textId="7F9738D2" w:rsidR="0050482E" w:rsidRDefault="0050482E" w:rsidP="0050482E">
      <w:pPr>
        <w:pStyle w:val="a3"/>
        <w:ind w:leftChars="0"/>
      </w:pPr>
      <w:r>
        <w:t xml:space="preserve">課題解決に向けた取組に普遍性があり、他地域への水平展開が可能な取組であること </w:t>
      </w:r>
    </w:p>
    <w:p w14:paraId="161CFFE9" w14:textId="77777777" w:rsidR="0050482E" w:rsidRDefault="0050482E" w:rsidP="0050482E">
      <w:pPr>
        <w:pStyle w:val="a3"/>
        <w:numPr>
          <w:ilvl w:val="0"/>
          <w:numId w:val="1"/>
        </w:numPr>
        <w:ind w:leftChars="0"/>
      </w:pPr>
      <w:r>
        <w:t xml:space="preserve">継続性 </w:t>
      </w:r>
    </w:p>
    <w:p w14:paraId="4BC2DECB" w14:textId="5C2F1A9E" w:rsidR="0050482E" w:rsidRDefault="0050482E" w:rsidP="0050482E">
      <w:pPr>
        <w:pStyle w:val="a3"/>
        <w:ind w:leftChars="0"/>
      </w:pPr>
      <w:r>
        <w:t>超少子高齢社会の課題解決及びウェルビーイング向上に継続的に役に立つこと</w:t>
      </w:r>
      <w:r>
        <w:rPr>
          <w:rFonts w:hint="eastAsia"/>
        </w:rPr>
        <w:t>。</w:t>
      </w:r>
    </w:p>
    <w:p w14:paraId="17DA3D2E" w14:textId="7AEBDDAF" w:rsidR="0050482E" w:rsidRDefault="0050482E" w:rsidP="0050482E">
      <w:pPr>
        <w:pStyle w:val="a3"/>
        <w:ind w:leftChars="0"/>
      </w:pPr>
      <w:r>
        <w:t>例：高齢者及び子ども</w:t>
      </w:r>
      <w:r>
        <w:rPr>
          <w:rFonts w:hint="eastAsia"/>
        </w:rPr>
        <w:t>・妊婦</w:t>
      </w:r>
      <w:r>
        <w:t>の</w:t>
      </w:r>
      <w:r>
        <w:rPr>
          <w:rFonts w:hint="eastAsia"/>
        </w:rPr>
        <w:t>予防</w:t>
      </w:r>
      <w:r>
        <w:t>医療・介護・住環境及び移動に必要なモビリティ・サービス、創薬等を含めた</w:t>
      </w:r>
      <w:r>
        <w:rPr>
          <w:rFonts w:hint="eastAsia"/>
        </w:rPr>
        <w:t>医療・</w:t>
      </w:r>
      <w:r>
        <w:t xml:space="preserve">福祉・ヘルスケア等の専門性の確立に役立つことなど、 社会課題の解決が一時的なものではなく、持続的な解決が図られる取組であること </w:t>
      </w:r>
    </w:p>
    <w:p w14:paraId="1563E60A" w14:textId="77777777" w:rsidR="0050482E" w:rsidRDefault="0050482E">
      <w:r>
        <w:t xml:space="preserve">２ 審査対象 </w:t>
      </w:r>
    </w:p>
    <w:p w14:paraId="31AA199A" w14:textId="2170BCA5" w:rsidR="0050482E" w:rsidRDefault="0050482E">
      <w:r>
        <w:rPr>
          <w:rFonts w:hint="eastAsia"/>
        </w:rPr>
        <w:t>W</w:t>
      </w:r>
      <w:r>
        <w:t>ell-being &amp; Age-tech</w:t>
      </w:r>
      <w:r>
        <w:rPr>
          <w:rFonts w:hint="eastAsia"/>
        </w:rPr>
        <w:t>2</w:t>
      </w:r>
      <w:r>
        <w:t>023Award(</w:t>
      </w:r>
      <w:r>
        <w:rPr>
          <w:rFonts w:hint="eastAsia"/>
        </w:rPr>
        <w:t>ウェルビーイング＆</w:t>
      </w:r>
      <w:r>
        <w:t>エイジテック202</w:t>
      </w:r>
      <w:r>
        <w:rPr>
          <w:rFonts w:hint="eastAsia"/>
        </w:rPr>
        <w:t>3</w:t>
      </w:r>
      <w:r>
        <w:t>アワード</w:t>
      </w:r>
      <w:r>
        <w:rPr>
          <w:rFonts w:hint="eastAsia"/>
        </w:rPr>
        <w:t>)</w:t>
      </w:r>
      <w:r>
        <w:t xml:space="preserve">へのすべての応募について審査を行う。 </w:t>
      </w:r>
    </w:p>
    <w:p w14:paraId="4846D79E" w14:textId="77777777" w:rsidR="0050482E" w:rsidRDefault="0050482E">
      <w:r>
        <w:lastRenderedPageBreak/>
        <w:t xml:space="preserve">３ 審査方法 </w:t>
      </w:r>
    </w:p>
    <w:p w14:paraId="596B4812" w14:textId="77777777" w:rsidR="0050482E" w:rsidRDefault="0050482E">
      <w:r>
        <w:t xml:space="preserve">（１）審査は点数制で行い、評価項目ごとに重みを付けて集計する。 </w:t>
      </w:r>
    </w:p>
    <w:p w14:paraId="530D1D93" w14:textId="77777777" w:rsidR="0050482E" w:rsidRDefault="0050482E">
      <w:r>
        <w:t>（２）表彰対象は最も優れた取組み 1 点を</w:t>
      </w:r>
      <w:r>
        <w:rPr>
          <w:rFonts w:hint="eastAsia"/>
        </w:rPr>
        <w:t>「デジタル大臣賞」＊または</w:t>
      </w:r>
      <w:r>
        <w:t>「最優秀賞」、最優秀賞に次いで優れている取組み （3 件程度）を「優秀賞」、大学生・大学院生・高校生等の若い世代の方が主体となって 活動 している優れた取組み（3 件程度）を「次世代賞」の対象とする。</w:t>
      </w:r>
    </w:p>
    <w:p w14:paraId="55285E63" w14:textId="77777777" w:rsidR="0050482E" w:rsidRDefault="0050482E">
      <w:r>
        <w:t xml:space="preserve">（３）取組みごとに、審査委員会の学識経験者、事業者代表等の審査委員にて審査を行う。 （４）審査員は各審査項目について、A「非常に優れている」B「優れている」C「普通」D 「要改善」の 4 段階評価を行い、評価票に審査結果を記入する。 </w:t>
      </w:r>
    </w:p>
    <w:p w14:paraId="616DA2E1" w14:textId="77777777" w:rsidR="0050482E" w:rsidRDefault="0050482E">
      <w:r>
        <w:t xml:space="preserve">（５）審査結果は、応募代表者に対して通知し、さらに評価得点上位から一定数の取組みも ホームページ及びウェルエイジング経済フォーラム </w:t>
      </w:r>
      <w:r>
        <w:t>Well-being &amp; Age-tech</w:t>
      </w:r>
      <w:r>
        <w:rPr>
          <w:rFonts w:hint="eastAsia"/>
        </w:rPr>
        <w:t>2</w:t>
      </w:r>
      <w:r>
        <w:t>022Awar</w:t>
      </w:r>
      <w:r>
        <w:t>授賞 式にて（11 月</w:t>
      </w:r>
      <w:r>
        <w:rPr>
          <w:rFonts w:hint="eastAsia"/>
        </w:rPr>
        <w:t>~１２月</w:t>
      </w:r>
      <w:r>
        <w:t xml:space="preserve">開催予定）で公表する。 </w:t>
      </w:r>
    </w:p>
    <w:p w14:paraId="3591D84A" w14:textId="77777777" w:rsidR="0050482E" w:rsidRDefault="0050482E">
      <w:r>
        <w:t>（６）審査委員の審査に付するに至らないと判断される重大な不備等のある応募について は事務局が審査委員の審査対象から除くことができる。</w:t>
      </w:r>
    </w:p>
    <w:p w14:paraId="606D614E" w14:textId="77777777" w:rsidR="0050482E" w:rsidRDefault="0050482E"/>
    <w:p w14:paraId="7025566B" w14:textId="77777777" w:rsidR="0050482E" w:rsidRDefault="0050482E">
      <w:r>
        <w:t xml:space="preserve"> ４ 審査項目及び評価基準 </w:t>
      </w:r>
    </w:p>
    <w:p w14:paraId="4FA5C7CB" w14:textId="25EEA4D1" w:rsidR="0050482E" w:rsidRDefault="0050482E" w:rsidP="0050482E">
      <w:pPr>
        <w:pStyle w:val="a3"/>
        <w:numPr>
          <w:ilvl w:val="0"/>
          <w:numId w:val="2"/>
        </w:numPr>
        <w:ind w:leftChars="0"/>
      </w:pPr>
      <w:r>
        <w:t xml:space="preserve">ストーリー性 </w:t>
      </w:r>
    </w:p>
    <w:p w14:paraId="1C59565E" w14:textId="2A531051" w:rsidR="0050482E" w:rsidRDefault="0050482E" w:rsidP="0050482E">
      <w:pPr>
        <w:pStyle w:val="a3"/>
        <w:ind w:leftChars="0" w:left="735"/>
      </w:pPr>
      <w:r>
        <w:t xml:space="preserve">国連 SDGs </w:t>
      </w:r>
      <w:r>
        <w:rPr>
          <w:rFonts w:hint="eastAsia"/>
        </w:rPr>
        <w:t>及び</w:t>
      </w:r>
      <w:r>
        <w:t xml:space="preserve">SDGs </w:t>
      </w:r>
      <w:r>
        <w:t>2nd edition「The Decade of Healthy Ageing 2021-2030」の達成、または 社会課題の解決に向けたストーリーが明確な取組であるかについて審査する。</w:t>
      </w:r>
    </w:p>
    <w:p w14:paraId="1CB0ED11" w14:textId="4A8360F8" w:rsidR="0050482E" w:rsidRDefault="0050482E" w:rsidP="0050482E">
      <w:pPr>
        <w:pStyle w:val="a3"/>
        <w:numPr>
          <w:ilvl w:val="0"/>
          <w:numId w:val="2"/>
        </w:numPr>
        <w:ind w:leftChars="0"/>
      </w:pPr>
      <w:r>
        <w:t xml:space="preserve">包摂性 </w:t>
      </w:r>
    </w:p>
    <w:p w14:paraId="522BCFA5" w14:textId="77777777" w:rsidR="0050482E" w:rsidRDefault="0050482E" w:rsidP="0050482E">
      <w:pPr>
        <w:pStyle w:val="a3"/>
        <w:ind w:leftChars="0" w:left="735"/>
      </w:pPr>
      <w:r>
        <w:t xml:space="preserve">健康的に年を重ねるなど超高齢社会を勘案した取組であること、また富裕層や特定 の 層のみを対象として格差拡大に繋がる取組ではなく、誰ひとり取り残さないこと を目 指した取組であるかについて審査する。 </w:t>
      </w:r>
    </w:p>
    <w:p w14:paraId="590F7600" w14:textId="412EB9F0" w:rsidR="0050482E" w:rsidRDefault="0050482E" w:rsidP="0050482E">
      <w:pPr>
        <w:pStyle w:val="a3"/>
        <w:numPr>
          <w:ilvl w:val="0"/>
          <w:numId w:val="2"/>
        </w:numPr>
        <w:ind w:leftChars="0"/>
      </w:pPr>
      <w:r>
        <w:t xml:space="preserve">統合性 </w:t>
      </w:r>
    </w:p>
    <w:p w14:paraId="6D59349E" w14:textId="77777777" w:rsidR="0050482E" w:rsidRDefault="0050482E" w:rsidP="0050482E">
      <w:pPr>
        <w:pStyle w:val="a3"/>
        <w:ind w:leftChars="0" w:left="735"/>
      </w:pPr>
      <w:r>
        <w:t xml:space="preserve">単一の課題だけでなく複数の課題の解決や「The Decade of Healthy Ageing 2021- 2030」の達成を目指す、統合的解決の視点を持った取組であるかについて審査する。 </w:t>
      </w:r>
    </w:p>
    <w:p w14:paraId="6B67748E" w14:textId="7AEF5C6D" w:rsidR="0050482E" w:rsidRDefault="0050482E" w:rsidP="0050482E">
      <w:pPr>
        <w:pStyle w:val="a3"/>
        <w:numPr>
          <w:ilvl w:val="0"/>
          <w:numId w:val="2"/>
        </w:numPr>
        <w:ind w:leftChars="0"/>
      </w:pPr>
      <w:r>
        <w:t xml:space="preserve">科学技術・イノベーションの活用 </w:t>
      </w:r>
    </w:p>
    <w:p w14:paraId="2DBD44B5" w14:textId="77777777" w:rsidR="0050482E" w:rsidRDefault="0050482E" w:rsidP="0050482E">
      <w:pPr>
        <w:pStyle w:val="a3"/>
        <w:ind w:leftChars="0" w:left="735"/>
      </w:pPr>
      <w:r>
        <w:t xml:space="preserve">対象となる社会課題に対して、科学技術・イノベーションが重要な役割を担ってい る 取組であるかについて審査する。 </w:t>
      </w:r>
    </w:p>
    <w:p w14:paraId="467C2844" w14:textId="24218223" w:rsidR="0050482E" w:rsidRDefault="0050482E" w:rsidP="0050482E">
      <w:pPr>
        <w:pStyle w:val="a3"/>
        <w:numPr>
          <w:ilvl w:val="0"/>
          <w:numId w:val="2"/>
        </w:numPr>
        <w:ind w:leftChars="0"/>
      </w:pPr>
      <w:r>
        <w:t xml:space="preserve">革新性、独創性 </w:t>
      </w:r>
    </w:p>
    <w:p w14:paraId="3F9A13E9" w14:textId="77777777" w:rsidR="0050482E" w:rsidRDefault="0050482E" w:rsidP="0050482E">
      <w:pPr>
        <w:pStyle w:val="a3"/>
        <w:ind w:leftChars="0" w:left="735"/>
      </w:pPr>
      <w:r>
        <w:t xml:space="preserve">社会課題の解決手段や着眼点にオリジナリティのある取組であるかについて審査する。 </w:t>
      </w:r>
    </w:p>
    <w:p w14:paraId="6E0D772D" w14:textId="15A1E5FF" w:rsidR="0050482E" w:rsidRDefault="0050482E" w:rsidP="0050482E">
      <w:pPr>
        <w:pStyle w:val="a3"/>
        <w:numPr>
          <w:ilvl w:val="0"/>
          <w:numId w:val="2"/>
        </w:numPr>
        <w:ind w:leftChars="0"/>
      </w:pPr>
      <w:r>
        <w:t xml:space="preserve">展開性 </w:t>
      </w:r>
    </w:p>
    <w:p w14:paraId="6AAD5FDB" w14:textId="77777777" w:rsidR="0050482E" w:rsidRDefault="0050482E" w:rsidP="0050482E">
      <w:pPr>
        <w:pStyle w:val="a3"/>
        <w:ind w:leftChars="0" w:left="735"/>
      </w:pPr>
      <w:r>
        <w:t xml:space="preserve">課題解決に向けた取組に普遍性があり、他地域への水平展開が可能な取組であるか に ついて審査する。 </w:t>
      </w:r>
    </w:p>
    <w:p w14:paraId="69BB92A6" w14:textId="5BF5D47A" w:rsidR="0050482E" w:rsidRDefault="0050482E" w:rsidP="0050482E">
      <w:pPr>
        <w:pStyle w:val="a3"/>
        <w:numPr>
          <w:ilvl w:val="0"/>
          <w:numId w:val="2"/>
        </w:numPr>
        <w:ind w:leftChars="0"/>
      </w:pPr>
      <w:r>
        <w:lastRenderedPageBreak/>
        <w:t xml:space="preserve">継続性 </w:t>
      </w:r>
    </w:p>
    <w:p w14:paraId="742C0B16" w14:textId="77777777" w:rsidR="0050482E" w:rsidRDefault="0050482E" w:rsidP="0050482E">
      <w:pPr>
        <w:pStyle w:val="a3"/>
        <w:ind w:leftChars="0" w:left="735"/>
      </w:pPr>
      <w:r>
        <w:t xml:space="preserve">社会課題の解決が一時的なものではなく、持続的な解決が図られる取組であるかに ついて審査する。 </w:t>
      </w:r>
    </w:p>
    <w:p w14:paraId="5AE35CF2" w14:textId="5F7194B1" w:rsidR="0050482E" w:rsidRDefault="0050482E" w:rsidP="0050482E">
      <w:pPr>
        <w:pStyle w:val="a3"/>
        <w:numPr>
          <w:ilvl w:val="0"/>
          <w:numId w:val="2"/>
        </w:numPr>
        <w:ind w:leftChars="0"/>
      </w:pPr>
      <w:r>
        <w:t xml:space="preserve">プレゼンテーション </w:t>
      </w:r>
    </w:p>
    <w:p w14:paraId="32CD4024" w14:textId="77777777" w:rsidR="0050482E" w:rsidRDefault="0050482E" w:rsidP="0050482E">
      <w:pPr>
        <w:pStyle w:val="a3"/>
        <w:ind w:leftChars="0" w:left="735"/>
      </w:pPr>
      <w:r>
        <w:t xml:space="preserve">面接選考における応募書類内容の記載事項の確認のほか、示されたスライドが分かり易いという視点で適切か、話す速さなど聞き取り易い説明となっている等の視点で審査する。 </w:t>
      </w:r>
    </w:p>
    <w:p w14:paraId="21BBB4E3" w14:textId="77777777" w:rsidR="0050482E" w:rsidRDefault="0050482E" w:rsidP="0050482E">
      <w:pPr>
        <w:pStyle w:val="a3"/>
        <w:ind w:leftChars="0" w:left="735"/>
      </w:pPr>
    </w:p>
    <w:p w14:paraId="47C2B0C6" w14:textId="77777777" w:rsidR="0050482E" w:rsidRDefault="0050482E" w:rsidP="0050482E">
      <w:r>
        <w:t xml:space="preserve">５ 評価得点の算出方法 </w:t>
      </w:r>
    </w:p>
    <w:p w14:paraId="2C18A465" w14:textId="77777777" w:rsidR="0050482E" w:rsidRDefault="0050482E" w:rsidP="0050482E">
      <w:r>
        <w:t xml:space="preserve">（１）取組み 1 件に対して、審査員が各審査項目に４点満点で評価する。 </w:t>
      </w:r>
    </w:p>
    <w:p w14:paraId="489EFD63" w14:textId="77777777" w:rsidR="0050482E" w:rsidRDefault="0050482E" w:rsidP="0050482E">
      <w:r>
        <w:t>（２）各審査項目は次のとおり重み付けを行い、その合計を得点とする。</w:t>
      </w:r>
    </w:p>
    <w:p w14:paraId="3A53172E" w14:textId="7E6CAC6D" w:rsidR="0050482E" w:rsidRDefault="0050482E" w:rsidP="0050482E">
      <w:r>
        <w:t>① ストーリー性 評価値に３倍を乗じたものを本審査項目の得点とする</w:t>
      </w:r>
    </w:p>
    <w:p w14:paraId="296422CC" w14:textId="2A1FC836" w:rsidR="0050482E" w:rsidRDefault="0050482E" w:rsidP="0050482E">
      <w:r>
        <w:t xml:space="preserve">② 包摂性 評価値に２倍を乗じたものを本審査項目の得点とする </w:t>
      </w:r>
    </w:p>
    <w:p w14:paraId="32BAB92E" w14:textId="77777777" w:rsidR="0050482E" w:rsidRDefault="0050482E" w:rsidP="0050482E">
      <w:r>
        <w:t xml:space="preserve">③ 統合性 評価値に２倍を乗じたものを本審査項目の得点とする </w:t>
      </w:r>
    </w:p>
    <w:p w14:paraId="141FD781" w14:textId="77777777" w:rsidR="0050482E" w:rsidRDefault="0050482E" w:rsidP="0050482E">
      <w:r>
        <w:t xml:space="preserve">④ 科学技術・イノベーションの活用 評価値に４倍を乗じたものを本審査項目の得点とす る </w:t>
      </w:r>
    </w:p>
    <w:p w14:paraId="7100573F" w14:textId="77777777" w:rsidR="0050482E" w:rsidRDefault="0050482E" w:rsidP="0050482E">
      <w:r>
        <w:t xml:space="preserve">⑤ 革新性、独創性 評価値に４倍を乗じたものを本審査項目の得点とする </w:t>
      </w:r>
    </w:p>
    <w:p w14:paraId="26D35ED4" w14:textId="77777777" w:rsidR="0050482E" w:rsidRDefault="0050482E" w:rsidP="0050482E">
      <w:r>
        <w:t xml:space="preserve">⑥ ⑦ ⑧ 展開性 継続性 プレゼンテーション 評価値に３倍を乗じたものを本審査項目の得点とする 評価値に３倍を乗じたものを本審査項目の得点とする 評価値に４倍を乗じたものを本審査項目の得点とする </w:t>
      </w:r>
    </w:p>
    <w:p w14:paraId="7EBD3A9B" w14:textId="77777777" w:rsidR="0050482E" w:rsidRDefault="0050482E" w:rsidP="0050482E">
      <w:r>
        <w:t>（３）一人の審査員の得点</w:t>
      </w:r>
      <w:r>
        <w:rPr>
          <w:rFonts w:hint="eastAsia"/>
        </w:rPr>
        <w:t>は</w:t>
      </w:r>
      <w:r>
        <w:t>100点満点とする。</w:t>
      </w:r>
    </w:p>
    <w:p w14:paraId="52056976" w14:textId="77777777" w:rsidR="0050482E" w:rsidRDefault="0050482E" w:rsidP="0050482E"/>
    <w:p w14:paraId="38733317" w14:textId="77777777" w:rsidR="0050482E" w:rsidRDefault="0050482E" w:rsidP="0050482E">
      <w:r>
        <w:t xml:space="preserve"> ６ 授賞取組みの決定 </w:t>
      </w:r>
    </w:p>
    <w:p w14:paraId="4F48C9C8" w14:textId="34ABA8B0" w:rsidR="00F8025D" w:rsidRDefault="0050482E" w:rsidP="0050482E">
      <w:r>
        <w:t>審査委員会において、評価得点上位の取組みより受賞対象を決定する。</w:t>
      </w:r>
    </w:p>
    <w:sectPr w:rsidR="00F802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C21"/>
    <w:multiLevelType w:val="hybridMultilevel"/>
    <w:tmpl w:val="D8583192"/>
    <w:lvl w:ilvl="0" w:tplc="B6DED236">
      <w:start w:val="1"/>
      <w:numFmt w:val="decimalFullWidth"/>
      <w:lvlText w:val="（%1）"/>
      <w:lvlJc w:val="left"/>
      <w:pPr>
        <w:ind w:left="840" w:hanging="735"/>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1" w15:restartNumberingAfterBreak="0">
    <w:nsid w:val="22E97FA6"/>
    <w:multiLevelType w:val="hybridMultilevel"/>
    <w:tmpl w:val="0944E4F2"/>
    <w:lvl w:ilvl="0" w:tplc="706E93E4">
      <w:start w:val="1"/>
      <w:numFmt w:val="decimalFullWidth"/>
      <w:lvlText w:val="（%1）"/>
      <w:lvlJc w:val="left"/>
      <w:pPr>
        <w:ind w:left="735" w:hanging="7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97218275">
    <w:abstractNumId w:val="0"/>
  </w:num>
  <w:num w:numId="2" w16cid:durableId="27945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2E"/>
    <w:rsid w:val="000A4443"/>
    <w:rsid w:val="0050482E"/>
    <w:rsid w:val="00AD093A"/>
    <w:rsid w:val="00E52A33"/>
    <w:rsid w:val="00F8025D"/>
    <w:rsid w:val="00FB3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030DB2"/>
  <w15:chartTrackingRefBased/>
  <w15:docId w15:val="{3117D1B0-5E92-4BAC-89F4-CD972272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8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Yumi</dc:creator>
  <cp:keywords/>
  <dc:description/>
  <cp:lastModifiedBy>Sato Yumi</cp:lastModifiedBy>
  <cp:revision>4</cp:revision>
  <dcterms:created xsi:type="dcterms:W3CDTF">2023-07-25T08:13:00Z</dcterms:created>
  <dcterms:modified xsi:type="dcterms:W3CDTF">2023-07-25T08:16:00Z</dcterms:modified>
</cp:coreProperties>
</file>